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0369C" w14:textId="4DEE6AE4" w:rsidR="008E70ED" w:rsidRPr="008E70ED" w:rsidRDefault="008E70ED" w:rsidP="008E70ED">
      <w:pPr>
        <w:spacing w:after="0"/>
        <w:jc w:val="center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 xml:space="preserve">ДОПОЛНИТЕЛЬНОЕ СОГЛАШЕНИЕ № </w:t>
      </w:r>
      <w:r w:rsidR="00F058E1">
        <w:rPr>
          <w:rFonts w:eastAsia="Times New Roman"/>
          <w:b/>
          <w:lang w:eastAsia="ru-RU"/>
        </w:rPr>
        <w:t>1</w:t>
      </w:r>
      <w:r w:rsidR="009B25EC">
        <w:rPr>
          <w:rFonts w:eastAsia="Times New Roman"/>
          <w:b/>
          <w:lang w:eastAsia="ru-RU"/>
        </w:rPr>
        <w:t>1</w:t>
      </w:r>
    </w:p>
    <w:p w14:paraId="3FCBC3D5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к Тарифному соглашению по оплате медицинской помощи в системе </w:t>
      </w:r>
    </w:p>
    <w:p w14:paraId="07248EF6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обязательного медицинского страхования на территории Республики Тыва </w:t>
      </w:r>
    </w:p>
    <w:p w14:paraId="208D18E9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>на 2025 год</w:t>
      </w:r>
    </w:p>
    <w:p w14:paraId="60015632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 </w:t>
      </w:r>
    </w:p>
    <w:p w14:paraId="2E5494CE" w14:textId="77B5AF51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г. Кызыл                                                                                               </w:t>
      </w:r>
      <w:r w:rsidR="00C42ABE">
        <w:rPr>
          <w:rFonts w:eastAsia="Times New Roman"/>
          <w:lang w:eastAsia="ru-RU"/>
        </w:rPr>
        <w:t xml:space="preserve">    </w:t>
      </w:r>
      <w:r w:rsidR="00FB5596">
        <w:rPr>
          <w:rFonts w:eastAsia="Times New Roman"/>
          <w:lang w:eastAsia="ru-RU"/>
        </w:rPr>
        <w:t>28</w:t>
      </w:r>
      <w:r w:rsidR="00A72877">
        <w:rPr>
          <w:rFonts w:eastAsia="Times New Roman"/>
          <w:lang w:eastAsia="ru-RU"/>
        </w:rPr>
        <w:t>.</w:t>
      </w:r>
      <w:r w:rsidR="00F058E1">
        <w:rPr>
          <w:rFonts w:eastAsia="Times New Roman"/>
          <w:lang w:eastAsia="ru-RU"/>
        </w:rPr>
        <w:t>1</w:t>
      </w:r>
      <w:r w:rsidR="009B25EC">
        <w:rPr>
          <w:rFonts w:eastAsia="Times New Roman"/>
          <w:lang w:eastAsia="ru-RU"/>
        </w:rPr>
        <w:t>1</w:t>
      </w:r>
      <w:r w:rsidRPr="008E70ED">
        <w:rPr>
          <w:rFonts w:eastAsia="Times New Roman"/>
          <w:lang w:eastAsia="ru-RU"/>
        </w:rPr>
        <w:t>.2025 г.</w:t>
      </w:r>
    </w:p>
    <w:p w14:paraId="7DDD781A" w14:textId="77777777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</w:t>
      </w:r>
    </w:p>
    <w:p w14:paraId="34557269" w14:textId="59793484" w:rsidR="008E70ED" w:rsidRDefault="008E70ED" w:rsidP="00D40904">
      <w:pPr>
        <w:spacing w:after="0"/>
        <w:ind w:firstLine="567"/>
        <w:jc w:val="both"/>
        <w:rPr>
          <w:rFonts w:eastAsia="Times New Roman"/>
          <w:lang w:eastAsia="ru-RU"/>
        </w:rPr>
      </w:pPr>
      <w:r w:rsidRPr="008E70ED">
        <w:rPr>
          <w:b/>
          <w:lang w:eastAsia="ru-RU"/>
        </w:rPr>
        <w:t>Мы, нижеподписавшиеся,</w:t>
      </w:r>
      <w:r w:rsidRPr="008E70ED">
        <w:rPr>
          <w:lang w:eastAsia="ru-RU"/>
        </w:rPr>
        <w:t xml:space="preserve"> представители органов исполнительной власти Республики Тыва, в лице министра здравоохранения Республики Тыва Югай А.К., представители Территориального фонда обязательного медицинского страхования Республики Тыва, в лице </w:t>
      </w:r>
      <w:r w:rsidR="00764E94">
        <w:rPr>
          <w:lang w:eastAsia="ru-RU"/>
        </w:rPr>
        <w:t xml:space="preserve">исполняющего обязанности </w:t>
      </w:r>
      <w:r w:rsidRPr="008E70ED">
        <w:rPr>
          <w:lang w:eastAsia="ru-RU"/>
        </w:rPr>
        <w:t xml:space="preserve">директора </w:t>
      </w:r>
      <w:r w:rsidR="00764E94">
        <w:rPr>
          <w:lang w:eastAsia="ru-RU"/>
        </w:rPr>
        <w:t>Полежаева Т.И.</w:t>
      </w:r>
      <w:r w:rsidRPr="008E70ED">
        <w:rPr>
          <w:lang w:eastAsia="ru-RU"/>
        </w:rPr>
        <w:t xml:space="preserve">, представители страховых медицинских организаций, в лице  </w:t>
      </w:r>
      <w:r w:rsidR="00F058E1" w:rsidRPr="00F058E1">
        <w:rPr>
          <w:lang w:eastAsia="ru-RU"/>
        </w:rPr>
        <w:t>исполняющего обязанности</w:t>
      </w:r>
      <w:r w:rsidR="00F058E1">
        <w:rPr>
          <w:lang w:eastAsia="ru-RU"/>
        </w:rPr>
        <w:t xml:space="preserve"> </w:t>
      </w:r>
      <w:r w:rsidRPr="008E70ED">
        <w:rPr>
          <w:lang w:eastAsia="ru-RU"/>
        </w:rPr>
        <w:t>директора Административного Структурного Подразделения ООО «Капитал МС» - Филиала в Республике Тыва</w:t>
      </w:r>
      <w:r w:rsidR="008767E8">
        <w:rPr>
          <w:lang w:eastAsia="ru-RU"/>
        </w:rPr>
        <w:t>, заместител</w:t>
      </w:r>
      <w:r w:rsidR="008E3640">
        <w:rPr>
          <w:lang w:eastAsia="ru-RU"/>
        </w:rPr>
        <w:t>я</w:t>
      </w:r>
      <w:r w:rsidR="008767E8">
        <w:rPr>
          <w:lang w:eastAsia="ru-RU"/>
        </w:rPr>
        <w:t xml:space="preserve"> директора</w:t>
      </w:r>
      <w:r w:rsidRPr="008E70ED">
        <w:rPr>
          <w:lang w:eastAsia="ru-RU"/>
        </w:rPr>
        <w:t xml:space="preserve"> </w:t>
      </w:r>
      <w:r w:rsidR="00F058E1">
        <w:rPr>
          <w:lang w:eastAsia="ru-RU"/>
        </w:rPr>
        <w:t>Сат Э.Д.</w:t>
      </w:r>
      <w:r w:rsidRPr="008E70ED">
        <w:rPr>
          <w:lang w:eastAsia="ru-RU"/>
        </w:rPr>
        <w:t xml:space="preserve">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 w:rsidRPr="008E70ED">
        <w:rPr>
          <w:lang w:eastAsia="ru-RU"/>
        </w:rPr>
        <w:t>Канчыыр-оол</w:t>
      </w:r>
      <w:proofErr w:type="spellEnd"/>
      <w:r w:rsidRPr="008E70ED">
        <w:rPr>
          <w:lang w:eastAsia="ru-RU"/>
        </w:rPr>
        <w:t xml:space="preserve"> А.А.,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Pr="008E70ED">
        <w:rPr>
          <w:rFonts w:eastAsia="Times New Roman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</w:t>
      </w:r>
      <w:r w:rsidR="002338D3">
        <w:rPr>
          <w:rFonts w:eastAsia="Times New Roman"/>
          <w:lang w:eastAsia="ru-RU"/>
        </w:rPr>
        <w:t>1</w:t>
      </w:r>
      <w:r w:rsidRPr="008E70ED">
        <w:rPr>
          <w:rFonts w:eastAsia="Times New Roman"/>
          <w:lang w:eastAsia="ru-RU"/>
        </w:rPr>
        <w:t>.0</w:t>
      </w:r>
      <w:r w:rsidR="002338D3">
        <w:rPr>
          <w:rFonts w:eastAsia="Times New Roman"/>
          <w:lang w:eastAsia="ru-RU"/>
        </w:rPr>
        <w:t>8</w:t>
      </w:r>
      <w:r w:rsidRPr="008E70ED">
        <w:rPr>
          <w:rFonts w:eastAsia="Times New Roman"/>
          <w:lang w:eastAsia="ru-RU"/>
        </w:rPr>
        <w:t>.20</w:t>
      </w:r>
      <w:r w:rsidR="002338D3">
        <w:rPr>
          <w:rFonts w:eastAsia="Times New Roman"/>
          <w:lang w:eastAsia="ru-RU"/>
        </w:rPr>
        <w:t>25</w:t>
      </w:r>
      <w:r w:rsidRPr="008E70ED">
        <w:rPr>
          <w:rFonts w:eastAsia="Times New Roman"/>
          <w:lang w:eastAsia="ru-RU"/>
        </w:rPr>
        <w:t>г. №</w:t>
      </w:r>
      <w:r w:rsidR="002338D3">
        <w:rPr>
          <w:rFonts w:eastAsia="Times New Roman"/>
          <w:lang w:eastAsia="ru-RU"/>
        </w:rPr>
        <w:t>496</w:t>
      </w:r>
      <w:r w:rsidRPr="008E70ED">
        <w:rPr>
          <w:rFonts w:eastAsia="Times New Roman"/>
          <w:lang w:eastAsia="ru-RU"/>
        </w:rPr>
        <w:t xml:space="preserve">н, </w:t>
      </w:r>
      <w:r w:rsidRPr="008E70ED">
        <w:rPr>
          <w:lang w:eastAsia="ru-RU"/>
        </w:rPr>
        <w:t xml:space="preserve">приказом Министерства здравоохранения Российской Федерации от 10.02.2023г. №44н «Об утверждении Требований к структуре и содержанию тарифного соглашения», </w:t>
      </w:r>
      <w:r w:rsidRPr="008E70ED">
        <w:rPr>
          <w:rFonts w:eastAsia="Times New Roman"/>
          <w:lang w:eastAsia="ru-RU"/>
        </w:rPr>
        <w:t>постановлением Правительства Республики Тыва от 28.12.2024г. №616 «Об утверждении Территориальной программы государственных гарантий бесплатного оказания гражданам медицинской помощи в Республике Тыва на 2025 год и на плановый период 2026 и 2027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44F1DC21" w14:textId="77777777" w:rsidR="00D40904" w:rsidRPr="008E70ED" w:rsidRDefault="00D40904" w:rsidP="008E70ED">
      <w:pPr>
        <w:spacing w:after="0"/>
        <w:ind w:firstLine="567"/>
        <w:jc w:val="both"/>
        <w:rPr>
          <w:rFonts w:eastAsia="Times New Roman"/>
          <w:color w:val="FF0000"/>
          <w:lang w:eastAsia="ru-RU"/>
        </w:rPr>
      </w:pPr>
    </w:p>
    <w:p w14:paraId="4D12EE73" w14:textId="77777777" w:rsidR="008E70ED" w:rsidRPr="008E70ED" w:rsidRDefault="008E70ED" w:rsidP="00A72877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>Внести в Тарифное соглашение на 2025 год следующие дополнения и изменения:</w:t>
      </w:r>
    </w:p>
    <w:p w14:paraId="224264F1" w14:textId="2F1743EB" w:rsidR="009B25EC" w:rsidRDefault="003F7922" w:rsidP="00D40904">
      <w:pPr>
        <w:pStyle w:val="a7"/>
        <w:numPr>
          <w:ilvl w:val="1"/>
          <w:numId w:val="1"/>
        </w:numPr>
        <w:tabs>
          <w:tab w:val="left" w:pos="993"/>
        </w:tabs>
        <w:spacing w:after="160"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абзац 15 подпункта </w:t>
      </w:r>
      <w:r w:rsidRPr="003F7922">
        <w:rPr>
          <w:rFonts w:eastAsia="Times New Roman"/>
          <w:color w:val="000000"/>
          <w:lang w:eastAsia="ru-RU"/>
        </w:rPr>
        <w:t xml:space="preserve">1.2.11. </w:t>
      </w:r>
      <w:r>
        <w:rPr>
          <w:rFonts w:eastAsia="Times New Roman"/>
          <w:color w:val="000000"/>
          <w:lang w:eastAsia="ru-RU"/>
        </w:rPr>
        <w:t>«</w:t>
      </w:r>
      <w:r w:rsidRPr="003F7922">
        <w:rPr>
          <w:rFonts w:eastAsia="Times New Roman"/>
          <w:color w:val="000000"/>
          <w:lang w:eastAsia="ru-RU"/>
        </w:rPr>
        <w:t>Применение показателей результативности деятельности медицинской организации, финансируемых по подушевому нормативу финансирования на прикрепившихся лиц</w:t>
      </w:r>
      <w:r w:rsidR="00FB5596">
        <w:rPr>
          <w:rFonts w:eastAsia="Times New Roman"/>
          <w:color w:val="000000"/>
          <w:lang w:eastAsia="ru-RU"/>
        </w:rPr>
        <w:t>»,</w:t>
      </w:r>
      <w:r>
        <w:rPr>
          <w:rFonts w:eastAsia="Times New Roman"/>
          <w:color w:val="000000"/>
          <w:lang w:eastAsia="ru-RU"/>
        </w:rPr>
        <w:t xml:space="preserve"> раздела </w:t>
      </w:r>
      <w:r>
        <w:rPr>
          <w:rFonts w:eastAsia="Times New Roman"/>
          <w:color w:val="000000"/>
          <w:lang w:val="en-US" w:eastAsia="ru-RU"/>
        </w:rPr>
        <w:t>II</w:t>
      </w:r>
      <w:r w:rsidRPr="003F7922">
        <w:rPr>
          <w:rFonts w:eastAsia="Times New Roman"/>
          <w:color w:val="000000"/>
          <w:lang w:eastAsia="ru-RU"/>
        </w:rPr>
        <w:t xml:space="preserve"> </w:t>
      </w:r>
      <w:r>
        <w:rPr>
          <w:rFonts w:eastAsia="Times New Roman"/>
          <w:color w:val="000000"/>
          <w:lang w:eastAsia="ru-RU"/>
        </w:rPr>
        <w:t>заменить на:</w:t>
      </w:r>
    </w:p>
    <w:p w14:paraId="02801E98" w14:textId="53E9387B" w:rsidR="003F7922" w:rsidRPr="003532DB" w:rsidRDefault="003F7922" w:rsidP="003F7922">
      <w:pPr>
        <w:pStyle w:val="a7"/>
        <w:tabs>
          <w:tab w:val="left" w:pos="993"/>
        </w:tabs>
        <w:spacing w:after="160" w:line="276" w:lineRule="auto"/>
        <w:ind w:left="0" w:firstLine="709"/>
        <w:jc w:val="both"/>
        <w:rPr>
          <w:rFonts w:eastAsia="Times New Roman"/>
          <w:i/>
          <w:iCs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«</w:t>
      </w:r>
      <w:r w:rsidRPr="003532DB">
        <w:rPr>
          <w:rFonts w:eastAsia="Times New Roman"/>
          <w:i/>
          <w:iCs/>
          <w:color w:val="000000"/>
          <w:lang w:eastAsia="ru-RU"/>
        </w:rPr>
        <w:t xml:space="preserve">Каждый показатель, включенный в блок (Приложение 15 к Тарифному соглашению), оценивается в баллах, которые суммируются. </w:t>
      </w:r>
      <w:r w:rsidR="002E6D13" w:rsidRPr="003532DB">
        <w:rPr>
          <w:rFonts w:eastAsia="Times New Roman"/>
          <w:i/>
          <w:iCs/>
          <w:color w:val="000000"/>
          <w:lang w:eastAsia="ru-RU"/>
        </w:rPr>
        <w:t>М</w:t>
      </w:r>
      <w:r w:rsidRPr="003532DB">
        <w:rPr>
          <w:rFonts w:eastAsia="Times New Roman"/>
          <w:i/>
          <w:iCs/>
          <w:color w:val="000000"/>
          <w:lang w:eastAsia="ru-RU"/>
        </w:rPr>
        <w:t>аксимально возможная сумма баллов по каждому блоку составляет:</w:t>
      </w:r>
    </w:p>
    <w:p w14:paraId="08226FAF" w14:textId="0B76D932" w:rsidR="003F7922" w:rsidRPr="003532DB" w:rsidRDefault="003F7922" w:rsidP="003F7922">
      <w:pPr>
        <w:pStyle w:val="a7"/>
        <w:tabs>
          <w:tab w:val="left" w:pos="993"/>
        </w:tabs>
        <w:spacing w:after="160" w:line="276" w:lineRule="auto"/>
        <w:ind w:left="0" w:firstLine="709"/>
        <w:jc w:val="both"/>
        <w:rPr>
          <w:rFonts w:eastAsia="Times New Roman"/>
          <w:i/>
          <w:iCs/>
          <w:color w:val="000000"/>
          <w:lang w:eastAsia="ru-RU"/>
        </w:rPr>
      </w:pPr>
      <w:r w:rsidRPr="003532DB">
        <w:rPr>
          <w:rFonts w:eastAsia="Times New Roman"/>
          <w:i/>
          <w:iCs/>
          <w:color w:val="000000"/>
          <w:lang w:eastAsia="ru-RU"/>
        </w:rPr>
        <w:t>- 35 баллов для показателей блока 1 (взрослое население);</w:t>
      </w:r>
    </w:p>
    <w:p w14:paraId="2C234479" w14:textId="1A55CD1B" w:rsidR="003F7922" w:rsidRPr="003532DB" w:rsidRDefault="003F7922" w:rsidP="003F7922">
      <w:pPr>
        <w:pStyle w:val="a7"/>
        <w:tabs>
          <w:tab w:val="left" w:pos="993"/>
        </w:tabs>
        <w:spacing w:after="160" w:line="276" w:lineRule="auto"/>
        <w:ind w:left="0" w:firstLine="709"/>
        <w:jc w:val="both"/>
        <w:rPr>
          <w:rFonts w:eastAsia="Times New Roman"/>
          <w:i/>
          <w:iCs/>
          <w:color w:val="000000"/>
          <w:lang w:eastAsia="ru-RU"/>
        </w:rPr>
      </w:pPr>
      <w:r w:rsidRPr="003532DB">
        <w:rPr>
          <w:rFonts w:eastAsia="Times New Roman"/>
          <w:i/>
          <w:iCs/>
          <w:color w:val="000000"/>
          <w:lang w:eastAsia="ru-RU"/>
        </w:rPr>
        <w:t>- 35 баллов для показателей блока 2 (детское население);</w:t>
      </w:r>
    </w:p>
    <w:p w14:paraId="30516AD6" w14:textId="29937D9D" w:rsidR="003F7922" w:rsidRPr="003532DB" w:rsidRDefault="003F7922" w:rsidP="003F7922">
      <w:pPr>
        <w:pStyle w:val="a7"/>
        <w:tabs>
          <w:tab w:val="left" w:pos="993"/>
        </w:tabs>
        <w:spacing w:after="160" w:line="276" w:lineRule="auto"/>
        <w:ind w:left="0" w:firstLine="709"/>
        <w:jc w:val="both"/>
        <w:rPr>
          <w:rFonts w:eastAsia="Times New Roman"/>
          <w:i/>
          <w:iCs/>
          <w:color w:val="000000"/>
          <w:lang w:eastAsia="ru-RU"/>
        </w:rPr>
      </w:pPr>
      <w:r w:rsidRPr="003532DB">
        <w:rPr>
          <w:rFonts w:eastAsia="Times New Roman"/>
          <w:i/>
          <w:iCs/>
          <w:color w:val="000000"/>
          <w:lang w:eastAsia="ru-RU"/>
        </w:rPr>
        <w:lastRenderedPageBreak/>
        <w:t>- 35 баллов для показателей блока 3 (женское население);</w:t>
      </w:r>
    </w:p>
    <w:p w14:paraId="1AE50331" w14:textId="74335FE8" w:rsidR="003532DB" w:rsidRPr="003532DB" w:rsidRDefault="003F7922" w:rsidP="003532DB">
      <w:pPr>
        <w:pStyle w:val="a7"/>
        <w:tabs>
          <w:tab w:val="left" w:pos="993"/>
        </w:tabs>
        <w:spacing w:after="160"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3532DB">
        <w:rPr>
          <w:rFonts w:eastAsia="Times New Roman"/>
          <w:i/>
          <w:iCs/>
          <w:color w:val="000000"/>
          <w:lang w:eastAsia="ru-RU"/>
        </w:rPr>
        <w:t>- 35 баллов для показателей блока 4 (оценка качества оказания медицинской помощи)</w:t>
      </w:r>
      <w:r>
        <w:rPr>
          <w:rFonts w:eastAsia="Times New Roman"/>
          <w:color w:val="000000"/>
          <w:lang w:eastAsia="ru-RU"/>
        </w:rPr>
        <w:t>.</w:t>
      </w:r>
      <w:r w:rsidRPr="003F7922">
        <w:rPr>
          <w:rFonts w:eastAsia="Times New Roman"/>
          <w:color w:val="000000"/>
          <w:lang w:eastAsia="ru-RU"/>
        </w:rPr>
        <w:t>»;</w:t>
      </w:r>
    </w:p>
    <w:p w14:paraId="14EB5564" w14:textId="6AD46D7B" w:rsidR="003532DB" w:rsidRPr="003532DB" w:rsidRDefault="003532DB" w:rsidP="003532DB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3532DB">
        <w:rPr>
          <w:rFonts w:eastAsia="Times New Roman"/>
          <w:color w:val="000000"/>
          <w:lang w:eastAsia="ru-RU"/>
        </w:rPr>
        <w:t>абзац 1</w:t>
      </w:r>
      <w:r>
        <w:rPr>
          <w:rFonts w:eastAsia="Times New Roman"/>
          <w:color w:val="000000"/>
          <w:lang w:eastAsia="ru-RU"/>
        </w:rPr>
        <w:t>9</w:t>
      </w:r>
      <w:r w:rsidRPr="003532DB">
        <w:rPr>
          <w:rFonts w:eastAsia="Times New Roman"/>
          <w:color w:val="000000"/>
          <w:lang w:eastAsia="ru-RU"/>
        </w:rPr>
        <w:t xml:space="preserve"> подпункта 1.2.11. «Применение показателей результативности деятельности медицинской организации, финансируемых по подушевому нормативу финансирования на прикрепившихся лиц», раздела II </w:t>
      </w:r>
      <w:r>
        <w:rPr>
          <w:rFonts w:eastAsia="Times New Roman"/>
          <w:color w:val="000000"/>
          <w:lang w:eastAsia="ru-RU"/>
        </w:rPr>
        <w:t>слова «</w:t>
      </w:r>
      <w:r w:rsidRPr="0087744B">
        <w:rPr>
          <w:bCs/>
        </w:rPr>
        <w:t>балл в диапазоне от 0 до 2 баллов</w:t>
      </w:r>
      <w:r>
        <w:rPr>
          <w:rFonts w:eastAsia="Times New Roman"/>
          <w:color w:val="000000"/>
          <w:lang w:eastAsia="ru-RU"/>
        </w:rPr>
        <w:t xml:space="preserve">» </w:t>
      </w:r>
      <w:r w:rsidRPr="003532DB">
        <w:rPr>
          <w:rFonts w:eastAsia="Times New Roman"/>
          <w:color w:val="000000"/>
          <w:lang w:eastAsia="ru-RU"/>
        </w:rPr>
        <w:t>заменить на</w:t>
      </w:r>
      <w:r>
        <w:rPr>
          <w:rFonts w:eastAsia="Times New Roman"/>
          <w:color w:val="000000"/>
          <w:lang w:eastAsia="ru-RU"/>
        </w:rPr>
        <w:t xml:space="preserve"> «соответствующий бал»;</w:t>
      </w:r>
    </w:p>
    <w:p w14:paraId="173AF9BA" w14:textId="7983CDAA" w:rsidR="003532DB" w:rsidRDefault="003532DB" w:rsidP="003532DB">
      <w:pPr>
        <w:pStyle w:val="a7"/>
        <w:numPr>
          <w:ilvl w:val="1"/>
          <w:numId w:val="1"/>
        </w:numPr>
        <w:ind w:left="0" w:firstLine="709"/>
        <w:jc w:val="both"/>
        <w:rPr>
          <w:rFonts w:eastAsia="Times New Roman"/>
          <w:color w:val="000000"/>
          <w:lang w:eastAsia="ru-RU"/>
        </w:rPr>
      </w:pPr>
      <w:r w:rsidRPr="003532DB">
        <w:rPr>
          <w:rFonts w:eastAsia="Times New Roman"/>
          <w:color w:val="000000"/>
          <w:lang w:eastAsia="ru-RU"/>
        </w:rPr>
        <w:t xml:space="preserve">абзац </w:t>
      </w:r>
      <w:r>
        <w:rPr>
          <w:rFonts w:eastAsia="Times New Roman"/>
          <w:color w:val="000000"/>
          <w:lang w:eastAsia="ru-RU"/>
        </w:rPr>
        <w:t>2</w:t>
      </w:r>
      <w:r w:rsidR="00B4568E">
        <w:rPr>
          <w:rFonts w:eastAsia="Times New Roman"/>
          <w:color w:val="000000"/>
          <w:lang w:eastAsia="ru-RU"/>
        </w:rPr>
        <w:t>1</w:t>
      </w:r>
      <w:r w:rsidRPr="003532DB">
        <w:rPr>
          <w:rFonts w:eastAsia="Times New Roman"/>
          <w:color w:val="000000"/>
          <w:lang w:eastAsia="ru-RU"/>
        </w:rPr>
        <w:t xml:space="preserve"> подпункта 1.2.11. «Применение показателей результативности деятельности медицинской организации, финансируемых по подушевому нормативу финансирования на прикрепившихся лиц», раздела II </w:t>
      </w:r>
      <w:r w:rsidR="00B4568E">
        <w:rPr>
          <w:rFonts w:eastAsia="Times New Roman"/>
          <w:color w:val="000000"/>
          <w:lang w:eastAsia="ru-RU"/>
        </w:rPr>
        <w:t>заменить на</w:t>
      </w:r>
      <w:r>
        <w:rPr>
          <w:rFonts w:eastAsia="Times New Roman"/>
          <w:color w:val="000000"/>
          <w:lang w:eastAsia="ru-RU"/>
        </w:rPr>
        <w:t>:</w:t>
      </w:r>
    </w:p>
    <w:p w14:paraId="5638F3FA" w14:textId="77777777" w:rsidR="003532DB" w:rsidRDefault="003532DB" w:rsidP="003532DB">
      <w:pPr>
        <w:pStyle w:val="a7"/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«</w:t>
      </w:r>
      <w:r w:rsidRPr="003532DB">
        <w:rPr>
          <w:rFonts w:eastAsia="Times New Roman"/>
          <w:i/>
          <w:iCs/>
          <w:color w:val="000000"/>
          <w:lang w:eastAsia="ru-RU"/>
        </w:rPr>
        <w:t>Показатель считается выполненным только при положительном количестве баллов</w:t>
      </w:r>
      <w:r>
        <w:rPr>
          <w:rFonts w:eastAsia="Times New Roman"/>
          <w:color w:val="000000"/>
          <w:lang w:eastAsia="ru-RU"/>
        </w:rPr>
        <w:t>.</w:t>
      </w:r>
    </w:p>
    <w:p w14:paraId="1E12A5E6" w14:textId="3111B364" w:rsidR="003532DB" w:rsidRPr="00B4568E" w:rsidRDefault="003532DB" w:rsidP="00B4568E">
      <w:pPr>
        <w:pStyle w:val="a7"/>
        <w:ind w:left="0" w:firstLine="709"/>
        <w:jc w:val="both"/>
        <w:rPr>
          <w:rFonts w:eastAsia="Times New Roman"/>
          <w:color w:val="000000"/>
          <w:lang w:eastAsia="ru-RU"/>
        </w:rPr>
      </w:pPr>
      <w:r w:rsidRPr="00B4568E">
        <w:rPr>
          <w:rFonts w:eastAsia="Times New Roman"/>
          <w:i/>
          <w:iCs/>
          <w:color w:val="000000"/>
          <w:lang w:eastAsia="ru-RU"/>
        </w:rPr>
        <w:t>В случае, если медицинская организация удовлетворяет нескольким критериям для начисления баллов, ей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15,</w:t>
      </w:r>
      <w:r w:rsidR="00B4568E" w:rsidRPr="00B4568E">
        <w:rPr>
          <w:rFonts w:eastAsia="Times New Roman"/>
          <w:i/>
          <w:iCs/>
          <w:color w:val="000000"/>
          <w:lang w:eastAsia="ru-RU"/>
        </w:rPr>
        <w:t xml:space="preserve"> равняется нулю, баллы по показателю не начисляются, а указанный показатель исключается из числа применяемых показателей при расчете доли достигнутых показателей результативности для медицинской организации за период</w:t>
      </w:r>
      <w:r w:rsidR="00B4568E">
        <w:rPr>
          <w:rFonts w:eastAsia="Times New Roman"/>
          <w:color w:val="000000"/>
          <w:lang w:eastAsia="ru-RU"/>
        </w:rPr>
        <w:t xml:space="preserve">. </w:t>
      </w:r>
      <w:r w:rsidR="00B4568E" w:rsidRPr="00B4568E">
        <w:rPr>
          <w:rFonts w:eastAsia="Times New Roman" w:cs="Calibri"/>
          <w:i/>
          <w:iCs/>
          <w:color w:val="000000"/>
          <w:szCs w:val="20"/>
          <w:lang w:eastAsia="ru-RU"/>
        </w:rPr>
        <w:t>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</w:t>
      </w:r>
      <w:r w:rsidR="00B4568E">
        <w:rPr>
          <w:rFonts w:eastAsia="Times New Roman" w:cs="Calibri"/>
          <w:color w:val="000000"/>
          <w:szCs w:val="20"/>
          <w:lang w:eastAsia="ru-RU"/>
        </w:rPr>
        <w:t>.</w:t>
      </w:r>
      <w:r>
        <w:rPr>
          <w:rFonts w:eastAsia="Times New Roman"/>
          <w:color w:val="000000"/>
          <w:lang w:eastAsia="ru-RU"/>
        </w:rPr>
        <w:t>»;</w:t>
      </w:r>
    </w:p>
    <w:p w14:paraId="0888348D" w14:textId="71F34E60" w:rsidR="00FB5596" w:rsidRPr="00FB5596" w:rsidRDefault="00FB5596" w:rsidP="00FB5596">
      <w:pPr>
        <w:pStyle w:val="a7"/>
        <w:numPr>
          <w:ilvl w:val="1"/>
          <w:numId w:val="1"/>
        </w:numPr>
        <w:spacing w:after="0"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FB5596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41</w:t>
      </w:r>
      <w:r w:rsidRPr="00FB5596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>
        <w:rPr>
          <w:rFonts w:eastAsia="Times New Roman"/>
          <w:color w:val="000000"/>
          <w:lang w:eastAsia="ru-RU"/>
        </w:rPr>
        <w:t xml:space="preserve">Тарифы </w:t>
      </w:r>
      <w:r w:rsidRPr="00FB5596">
        <w:rPr>
          <w:rFonts w:eastAsia="Times New Roman"/>
          <w:color w:val="000000"/>
          <w:lang w:eastAsia="ru-RU"/>
        </w:rPr>
        <w:t>на оплату законченного случая профилактических медицинских осмотров несовершеннолетних на 2025 год» в соответствии с приложением №1 к настоящему Дополнительному соглашению;</w:t>
      </w:r>
    </w:p>
    <w:p w14:paraId="60324625" w14:textId="4C6B4857" w:rsidR="00FB5596" w:rsidRPr="00FB5596" w:rsidRDefault="00FB5596" w:rsidP="00FB5596">
      <w:pPr>
        <w:pStyle w:val="a7"/>
        <w:numPr>
          <w:ilvl w:val="1"/>
          <w:numId w:val="1"/>
        </w:numPr>
        <w:spacing w:after="0"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FB5596">
        <w:rPr>
          <w:rFonts w:eastAsia="Times New Roman"/>
          <w:color w:val="000000"/>
          <w:lang w:eastAsia="ru-RU"/>
        </w:rPr>
        <w:t>внести изменения в приложение №</w:t>
      </w:r>
      <w:r>
        <w:rPr>
          <w:rFonts w:eastAsia="Times New Roman"/>
          <w:color w:val="000000"/>
          <w:lang w:eastAsia="ru-RU"/>
        </w:rPr>
        <w:t>4</w:t>
      </w:r>
      <w:r w:rsidRPr="00FB5596">
        <w:rPr>
          <w:rFonts w:eastAsia="Times New Roman"/>
          <w:color w:val="000000"/>
          <w:lang w:eastAsia="ru-RU"/>
        </w:rPr>
        <w:t>5 к Тарифному соглашению на 2025 год «</w:t>
      </w:r>
      <w:r>
        <w:rPr>
          <w:rFonts w:eastAsia="Times New Roman"/>
          <w:color w:val="000000"/>
          <w:lang w:eastAsia="ru-RU"/>
        </w:rPr>
        <w:t xml:space="preserve">Тарифы </w:t>
      </w:r>
      <w:r w:rsidRPr="00FB5596">
        <w:rPr>
          <w:rFonts w:eastAsia="Times New Roman"/>
          <w:color w:val="000000"/>
          <w:lang w:eastAsia="ru-RU"/>
        </w:rPr>
        <w:t>стоимости диспансеризации, пребывающих в стационарных учреждениях, детей-сирот и детей, находящихся в трудной жизненной ситуации и детей-сирот,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2</w:t>
      </w:r>
      <w:r w:rsidRPr="00FB5596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0E94692E" w14:textId="35CEFAC7" w:rsidR="002E58DC" w:rsidRDefault="002E58DC" w:rsidP="00FB5596">
      <w:pPr>
        <w:pStyle w:val="a7"/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>
        <w:rPr>
          <w:rFonts w:eastAsia="Times New Roman"/>
          <w:color w:val="000000"/>
          <w:lang w:eastAsia="ru-RU"/>
        </w:rPr>
        <w:t>15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</w:t>
      </w:r>
      <w:r w:rsidRPr="00583328">
        <w:rPr>
          <w:rFonts w:eastAsia="Times New Roman"/>
          <w:color w:val="000000"/>
          <w:lang w:eastAsia="ru-RU"/>
        </w:rPr>
        <w:t>«</w:t>
      </w:r>
      <w:r w:rsidRPr="002E58DC">
        <w:rPr>
          <w:rFonts w:eastAsia="Times New Roman"/>
          <w:color w:val="000000"/>
          <w:lang w:eastAsia="ru-RU"/>
        </w:rPr>
        <w:t>Подходы к балльной оценке и порядок расчета значений показателей результативности деятельности медицинских организаций на 2025 год</w:t>
      </w:r>
      <w:r w:rsidRPr="00583328">
        <w:rPr>
          <w:rFonts w:eastAsia="Times New Roman"/>
          <w:color w:val="000000"/>
          <w:lang w:eastAsia="ru-RU"/>
        </w:rPr>
        <w:t>»</w:t>
      </w:r>
      <w:r w:rsidRPr="00EE6F13">
        <w:rPr>
          <w:rFonts w:eastAsia="Times New Roman"/>
          <w:color w:val="000000"/>
          <w:lang w:eastAsia="ru-RU"/>
        </w:rPr>
        <w:t xml:space="preserve"> в соответствии с приложением №</w:t>
      </w:r>
      <w:r w:rsidR="00FB5596">
        <w:rPr>
          <w:rFonts w:eastAsia="Times New Roman"/>
          <w:color w:val="000000"/>
          <w:lang w:eastAsia="ru-RU"/>
        </w:rPr>
        <w:t>3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58A84C26" w14:textId="1BB2DDDD" w:rsidR="008E3640" w:rsidRPr="008E3640" w:rsidRDefault="00766DB5" w:rsidP="008E3640">
      <w:pPr>
        <w:pStyle w:val="a7"/>
        <w:numPr>
          <w:ilvl w:val="1"/>
          <w:numId w:val="1"/>
        </w:numPr>
        <w:spacing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приложение №16 к </w:t>
      </w:r>
      <w:r w:rsidRPr="00766DB5">
        <w:rPr>
          <w:rFonts w:eastAsia="Times New Roman"/>
          <w:color w:val="000000"/>
          <w:lang w:eastAsia="ru-RU"/>
        </w:rPr>
        <w:t>Тарифному соглашению на 2025 год «Порядок расчета значений показателей результативности деятельности медицинских организаций на 2025 год»</w:t>
      </w:r>
      <w:r>
        <w:rPr>
          <w:rFonts w:eastAsia="Times New Roman"/>
          <w:color w:val="000000"/>
          <w:lang w:eastAsia="ru-RU"/>
        </w:rPr>
        <w:t xml:space="preserve"> исключить.</w:t>
      </w:r>
    </w:p>
    <w:p w14:paraId="4074EE1C" w14:textId="22DA3E91" w:rsidR="003F3A4E" w:rsidRDefault="003F3A4E" w:rsidP="008E3640">
      <w:pPr>
        <w:pStyle w:val="a7"/>
        <w:tabs>
          <w:tab w:val="left" w:pos="1134"/>
        </w:tabs>
        <w:spacing w:after="0"/>
        <w:ind w:left="-284" w:firstLine="142"/>
        <w:jc w:val="both"/>
      </w:pPr>
    </w:p>
    <w:p w14:paraId="4EFAFAB3" w14:textId="77777777" w:rsidR="002E7D39" w:rsidRDefault="002E7D39" w:rsidP="008E3640">
      <w:pPr>
        <w:pStyle w:val="a7"/>
        <w:tabs>
          <w:tab w:val="left" w:pos="1134"/>
        </w:tabs>
        <w:spacing w:after="0"/>
        <w:ind w:left="-284" w:firstLine="142"/>
        <w:jc w:val="both"/>
      </w:pPr>
    </w:p>
    <w:p w14:paraId="0A52EDF5" w14:textId="77777777" w:rsidR="002E7D39" w:rsidRDefault="002E7D39" w:rsidP="008E3640">
      <w:pPr>
        <w:pStyle w:val="a7"/>
        <w:tabs>
          <w:tab w:val="left" w:pos="1134"/>
        </w:tabs>
        <w:spacing w:after="0"/>
        <w:ind w:left="-284" w:firstLine="142"/>
        <w:jc w:val="both"/>
      </w:pPr>
    </w:p>
    <w:p w14:paraId="780C410D" w14:textId="746865F1" w:rsidR="002E7D39" w:rsidRDefault="002E7D39" w:rsidP="002E7D39">
      <w:pPr>
        <w:pStyle w:val="a7"/>
        <w:tabs>
          <w:tab w:val="left" w:pos="1134"/>
        </w:tabs>
        <w:spacing w:after="0"/>
        <w:ind w:left="-284" w:firstLine="284"/>
        <w:jc w:val="both"/>
      </w:pPr>
      <w:r>
        <w:rPr>
          <w:noProof/>
          <w14:ligatures w14:val="standardContextual"/>
        </w:rPr>
        <w:lastRenderedPageBreak/>
        <w:drawing>
          <wp:inline distT="0" distB="0" distL="0" distR="0" wp14:anchorId="641BCA2E" wp14:editId="13DFF0D6">
            <wp:extent cx="6260457" cy="8639175"/>
            <wp:effectExtent l="0" t="0" r="7620" b="0"/>
            <wp:docPr id="16821786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178602" name="Рисунок 168217860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2067" cy="8641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7D39" w:rsidSect="008E3640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34D"/>
    <w:multiLevelType w:val="multilevel"/>
    <w:tmpl w:val="0FE41DF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 w15:restartNumberingAfterBreak="0">
    <w:nsid w:val="520B3EC9"/>
    <w:multiLevelType w:val="multilevel"/>
    <w:tmpl w:val="F22AFA6A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05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eastAsia="Times New Roman" w:hint="default"/>
      </w:rPr>
    </w:lvl>
  </w:abstractNum>
  <w:abstractNum w:abstractNumId="2" w15:restartNumberingAfterBreak="0">
    <w:nsid w:val="742B5873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num w:numId="1" w16cid:durableId="1025056836">
    <w:abstractNumId w:val="0"/>
  </w:num>
  <w:num w:numId="2" w16cid:durableId="483859692">
    <w:abstractNumId w:val="1"/>
  </w:num>
  <w:num w:numId="3" w16cid:durableId="848255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D2D"/>
    <w:rsid w:val="00167A20"/>
    <w:rsid w:val="002338D3"/>
    <w:rsid w:val="002B04ED"/>
    <w:rsid w:val="002E58DC"/>
    <w:rsid w:val="002E6D13"/>
    <w:rsid w:val="002E7D39"/>
    <w:rsid w:val="003532DB"/>
    <w:rsid w:val="003C6B3B"/>
    <w:rsid w:val="003D2B98"/>
    <w:rsid w:val="003F3A4E"/>
    <w:rsid w:val="003F7922"/>
    <w:rsid w:val="004A2D2D"/>
    <w:rsid w:val="00582DD1"/>
    <w:rsid w:val="00583328"/>
    <w:rsid w:val="00593F31"/>
    <w:rsid w:val="0069242B"/>
    <w:rsid w:val="007269DE"/>
    <w:rsid w:val="00764E94"/>
    <w:rsid w:val="00766DB5"/>
    <w:rsid w:val="007C2336"/>
    <w:rsid w:val="00816EC6"/>
    <w:rsid w:val="008767E8"/>
    <w:rsid w:val="008E3640"/>
    <w:rsid w:val="008E70ED"/>
    <w:rsid w:val="00932DFB"/>
    <w:rsid w:val="009B25EC"/>
    <w:rsid w:val="009D7D11"/>
    <w:rsid w:val="009E464C"/>
    <w:rsid w:val="00A33390"/>
    <w:rsid w:val="00A33841"/>
    <w:rsid w:val="00A72877"/>
    <w:rsid w:val="00A742C7"/>
    <w:rsid w:val="00A926FA"/>
    <w:rsid w:val="00B4568E"/>
    <w:rsid w:val="00B64057"/>
    <w:rsid w:val="00C23E46"/>
    <w:rsid w:val="00C42ABE"/>
    <w:rsid w:val="00C621D4"/>
    <w:rsid w:val="00CB1077"/>
    <w:rsid w:val="00CC080E"/>
    <w:rsid w:val="00D066FB"/>
    <w:rsid w:val="00D40904"/>
    <w:rsid w:val="00D70379"/>
    <w:rsid w:val="00DC20DB"/>
    <w:rsid w:val="00DD3478"/>
    <w:rsid w:val="00E07327"/>
    <w:rsid w:val="00E5384F"/>
    <w:rsid w:val="00EE6F13"/>
    <w:rsid w:val="00EF63F4"/>
    <w:rsid w:val="00F058E1"/>
    <w:rsid w:val="00F6011F"/>
    <w:rsid w:val="00FB5596"/>
    <w:rsid w:val="00FE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EB7C"/>
  <w15:chartTrackingRefBased/>
  <w15:docId w15:val="{28BB56D0-DB09-410A-AE04-A1241EA8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2D"/>
    <w:pPr>
      <w:spacing w:after="200" w:line="240" w:lineRule="auto"/>
      <w:jc w:val="right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2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2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2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2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2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2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2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2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D2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2D2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2D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2D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2D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2D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2D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2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2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A2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2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2D2D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4A2D2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A2D2D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A2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A2D2D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A2D2D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4A2D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9D7D11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table" w:customStyle="1" w:styleId="211">
    <w:name w:val="Сетка таблицы211"/>
    <w:basedOn w:val="a1"/>
    <w:uiPriority w:val="59"/>
    <w:rsid w:val="009D7D1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066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066FB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ECBE0-8CC5-4299-BF2E-452E877E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Полежаева</dc:creator>
  <cp:keywords/>
  <dc:description/>
  <cp:lastModifiedBy>Буян Каадырович Ойдуп</cp:lastModifiedBy>
  <cp:revision>39</cp:revision>
  <cp:lastPrinted>2025-11-28T03:21:00Z</cp:lastPrinted>
  <dcterms:created xsi:type="dcterms:W3CDTF">2025-04-28T08:11:00Z</dcterms:created>
  <dcterms:modified xsi:type="dcterms:W3CDTF">2025-12-09T01:52:00Z</dcterms:modified>
</cp:coreProperties>
</file>